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0E572">
      <w:pPr>
        <w:spacing w:line="560" w:lineRule="exact"/>
        <w:jc w:val="center"/>
        <w:rPr>
          <w:b/>
          <w:sz w:val="32"/>
          <w:szCs w:val="24"/>
        </w:rPr>
      </w:pPr>
      <w:r>
        <w:rPr>
          <w:rFonts w:hint="eastAsia"/>
          <w:b/>
          <w:sz w:val="32"/>
          <w:szCs w:val="24"/>
          <w:lang w:eastAsia="zh-CN"/>
        </w:rPr>
        <w:t>虚</w:t>
      </w:r>
      <w:r>
        <w:rPr>
          <w:b/>
          <w:sz w:val="32"/>
          <w:szCs w:val="24"/>
        </w:rPr>
        <w:t>假申报债权法律风险提示</w:t>
      </w:r>
    </w:p>
    <w:p w14:paraId="20C19494">
      <w:pPr>
        <w:spacing w:line="560" w:lineRule="exact"/>
        <w:rPr>
          <w:bCs/>
          <w:sz w:val="28"/>
        </w:rPr>
      </w:pPr>
      <w:r>
        <w:rPr>
          <w:rFonts w:hint="eastAsia"/>
          <w:bCs/>
          <w:sz w:val="28"/>
          <w:lang w:val="en-US" w:eastAsia="zh-CN"/>
        </w:rPr>
        <w:t>东莞市诚达汽车模具有限公司</w:t>
      </w:r>
      <w:r>
        <w:rPr>
          <w:bCs/>
          <w:sz w:val="28"/>
        </w:rPr>
        <w:t>债权人：</w:t>
      </w:r>
    </w:p>
    <w:p w14:paraId="356F2F87">
      <w:pPr>
        <w:spacing w:line="560" w:lineRule="exact"/>
        <w:ind w:firstLine="560" w:firstLineChars="200"/>
        <w:rPr>
          <w:bCs/>
          <w:sz w:val="28"/>
        </w:rPr>
      </w:pPr>
      <w:r>
        <w:rPr>
          <w:bCs/>
          <w:sz w:val="28"/>
        </w:rPr>
        <w:t>为保证</w:t>
      </w:r>
      <w:r>
        <w:rPr>
          <w:rFonts w:hint="eastAsia"/>
          <w:bCs/>
          <w:sz w:val="28"/>
          <w:lang w:val="en-US" w:eastAsia="zh-CN"/>
        </w:rPr>
        <w:t>东莞市诚达汽车模具有限公司</w:t>
      </w:r>
      <w:r>
        <w:rPr>
          <w:bCs/>
          <w:sz w:val="28"/>
        </w:rPr>
        <w:t>债权真实性及合法性，最大限度维护各债权人合法利益并保障本案程序合法有序进行，管理人提醒各债权人在债权申报过程中，关注如下法律法规及风险提示：</w:t>
      </w:r>
    </w:p>
    <w:p w14:paraId="03D87011">
      <w:pPr>
        <w:spacing w:line="560" w:lineRule="exact"/>
        <w:ind w:firstLine="562" w:firstLineChars="200"/>
        <w:rPr>
          <w:b/>
          <w:sz w:val="28"/>
        </w:rPr>
      </w:pPr>
      <w:r>
        <w:rPr>
          <w:b/>
          <w:sz w:val="28"/>
        </w:rPr>
        <w:t>一、《中华人民共和国刑法》</w:t>
      </w:r>
    </w:p>
    <w:p w14:paraId="4191842E">
      <w:pPr>
        <w:spacing w:line="560" w:lineRule="exact"/>
        <w:ind w:firstLine="560" w:firstLineChars="200"/>
        <w:rPr>
          <w:bCs/>
          <w:sz w:val="28"/>
        </w:rPr>
      </w:pPr>
      <w:r>
        <w:rPr>
          <w:bCs/>
          <w:sz w:val="28"/>
        </w:rPr>
        <w:t>第三百零七条 以捏造的事实提起民事诉讼，妨害司法秩序或者严重侵害他人合法权益的，处三年以下有期徒刑、拘役或者管制，并处或者单处罚金；情节严重的，处三年以上七年以下有期徒刑，并处罚金。</w:t>
      </w:r>
    </w:p>
    <w:p w14:paraId="6EBDCFF9">
      <w:pPr>
        <w:spacing w:line="560" w:lineRule="exact"/>
        <w:ind w:firstLine="562" w:firstLineChars="200"/>
        <w:rPr>
          <w:b/>
          <w:sz w:val="28"/>
        </w:rPr>
      </w:pPr>
      <w:r>
        <w:rPr>
          <w:b/>
          <w:sz w:val="28"/>
        </w:rPr>
        <w:t>二、《最高人民法院、最高人民检察院关于办理虚假诉讼刑事案件适用法律若干问题的解释》</w:t>
      </w:r>
    </w:p>
    <w:p w14:paraId="6197D9D7">
      <w:pPr>
        <w:spacing w:line="560" w:lineRule="exact"/>
        <w:ind w:firstLine="560" w:firstLineChars="200"/>
        <w:rPr>
          <w:bCs/>
          <w:sz w:val="28"/>
        </w:rPr>
      </w:pPr>
      <w:r>
        <w:rPr>
          <w:bCs/>
          <w:sz w:val="28"/>
        </w:rPr>
        <w:t>第一条 采取伪造证据、虚假陈述等手段，实施下列行为之一，捏造民事法律关系，虚构民事纠纷，向人民法院提起民事诉讼的，应当认定为刑法第三百零七条之一第一款规定的“以捏造的事实提起民事诉讼”：...(五)在重整案件审理过程中申报捏造的债权的；...隐瞒债务已经全部清偿的事实，向人民法院提起民事诉讼，要求他人履行债务的，以“以捏造的事实提起民事诉讼”论。</w:t>
      </w:r>
    </w:p>
    <w:p w14:paraId="7C24DA27">
      <w:pPr>
        <w:spacing w:line="560" w:lineRule="exact"/>
        <w:ind w:firstLine="560" w:firstLineChars="200"/>
        <w:rPr>
          <w:bCs/>
          <w:sz w:val="28"/>
        </w:rPr>
      </w:pPr>
      <w:r>
        <w:rPr>
          <w:bCs/>
          <w:sz w:val="28"/>
        </w:rPr>
        <w:t>第二条 以捏造的事实提起民事诉讼，有下列情形之一的，应当认定为刑法第三百零七条之一第一款规定的“妨害司法秩序或者严重侵害他人合法权益”：... (三)致使人民法院基于捏造的事实作出裁判文书、 制作财产分配方案，或者立案执行基于捏造的事实作出的仲裁裁决、公证债权文书的。</w:t>
      </w:r>
    </w:p>
    <w:p w14:paraId="1D73194A">
      <w:pPr>
        <w:spacing w:line="560" w:lineRule="exact"/>
        <w:ind w:firstLine="560" w:firstLineChars="200"/>
        <w:rPr>
          <w:bCs/>
          <w:sz w:val="28"/>
        </w:rPr>
      </w:pPr>
      <w:r>
        <w:rPr>
          <w:bCs/>
          <w:sz w:val="28"/>
        </w:rPr>
        <w:t>第六条 诉讼代理人、证人、鉴定人等诉讼参与人与他人通谋，代理提起虚假民事诉讼、故意作虚假证言或者出具虚假鉴定意见，共同实施刑法第三百零七条之一前三款行为的，依照共同犯罪的规定定罪处罚； 同时构成妨害作证罪，帮助毁灭、伪造证据罪等犯罪的，依照处罚较重的规定定罪从重处罚。</w:t>
      </w:r>
    </w:p>
    <w:p w14:paraId="355166B5">
      <w:pPr>
        <w:spacing w:line="560" w:lineRule="exact"/>
        <w:ind w:firstLine="562" w:firstLineChars="200"/>
        <w:rPr>
          <w:b/>
          <w:sz w:val="28"/>
        </w:rPr>
      </w:pPr>
      <w:r>
        <w:rPr>
          <w:b/>
          <w:sz w:val="28"/>
        </w:rPr>
        <w:t>基于上述规定，请债权人在债权申报程序中杜绝以下行为：</w:t>
      </w:r>
    </w:p>
    <w:p w14:paraId="26DFA69C">
      <w:pPr>
        <w:spacing w:line="560" w:lineRule="exact"/>
        <w:ind w:firstLine="560" w:firstLineChars="200"/>
        <w:rPr>
          <w:bCs/>
          <w:sz w:val="28"/>
        </w:rPr>
      </w:pPr>
      <w:r>
        <w:rPr>
          <w:bCs/>
          <w:sz w:val="28"/>
        </w:rPr>
        <w:t>1、伪造、变造申报材料，虚假陈述，捏造债权向管理人申报债权；</w:t>
      </w:r>
    </w:p>
    <w:p w14:paraId="41E00207">
      <w:pPr>
        <w:spacing w:line="560" w:lineRule="exact"/>
        <w:ind w:firstLine="560" w:firstLineChars="200"/>
        <w:rPr>
          <w:bCs/>
          <w:sz w:val="28"/>
        </w:rPr>
      </w:pPr>
      <w:r>
        <w:rPr>
          <w:bCs/>
          <w:sz w:val="28"/>
        </w:rPr>
        <w:t>2、隐瞒债务已经全部或部分清偿的事实，以捏造的事实向管理人申报债权；</w:t>
      </w:r>
    </w:p>
    <w:p w14:paraId="3D2B602A">
      <w:pPr>
        <w:spacing w:line="560" w:lineRule="exact"/>
        <w:ind w:firstLine="560" w:firstLineChars="200"/>
        <w:rPr>
          <w:bCs/>
          <w:sz w:val="28"/>
        </w:rPr>
      </w:pPr>
      <w:r>
        <w:rPr>
          <w:bCs/>
          <w:sz w:val="28"/>
        </w:rPr>
        <w:t>3、以基于捏造的事实作出的裁判文书作为申报材料向管理人申报债权；</w:t>
      </w:r>
    </w:p>
    <w:p w14:paraId="5F667AFE">
      <w:pPr>
        <w:spacing w:line="560" w:lineRule="exact"/>
        <w:ind w:firstLine="560" w:firstLineChars="200"/>
        <w:rPr>
          <w:bCs/>
          <w:sz w:val="28"/>
        </w:rPr>
      </w:pPr>
      <w:r>
        <w:rPr>
          <w:bCs/>
          <w:sz w:val="28"/>
        </w:rPr>
        <w:t>4、诉讼代理人引诱或帮助债权人以上述行为向管理人申报虚假债权；</w:t>
      </w:r>
    </w:p>
    <w:p w14:paraId="40232004">
      <w:pPr>
        <w:spacing w:line="560" w:lineRule="exact"/>
        <w:ind w:firstLine="560" w:firstLineChars="200"/>
        <w:rPr>
          <w:bCs/>
          <w:sz w:val="28"/>
        </w:rPr>
      </w:pPr>
      <w:r>
        <w:rPr>
          <w:bCs/>
          <w:sz w:val="28"/>
        </w:rPr>
        <w:t>5、以其他违反法律和信用缺失行为向管理人申报虚假债权。本人/本单位已阅知，充分认识到诚信申报及诚信诉讼的重要意义和失信行为的严重危害，本人/本单位向管理人郑重承诺申报债权均真实、合法、有效，无上述虚假申报及虚假诉讼情况并自愿承担由此造成的一切法律风险及法律后果。</w:t>
      </w:r>
    </w:p>
    <w:p w14:paraId="562F659E">
      <w:pPr>
        <w:spacing w:line="560" w:lineRule="exact"/>
        <w:ind w:firstLine="560" w:firstLineChars="200"/>
        <w:rPr>
          <w:bCs/>
          <w:sz w:val="28"/>
        </w:rPr>
      </w:pPr>
    </w:p>
    <w:p w14:paraId="32DF2155">
      <w:pPr>
        <w:wordWrap w:val="0"/>
        <w:spacing w:line="560" w:lineRule="exact"/>
        <w:ind w:firstLine="560" w:firstLineChars="200"/>
        <w:jc w:val="right"/>
        <w:rPr>
          <w:rFonts w:hint="default" w:eastAsia="仿宋"/>
          <w:bCs/>
          <w:sz w:val="28"/>
          <w:lang w:val="en-US" w:eastAsia="zh-CN"/>
        </w:rPr>
      </w:pPr>
      <w:r>
        <w:rPr>
          <w:bCs/>
          <w:sz w:val="28"/>
        </w:rPr>
        <w:t>承诺人(签章)：</w:t>
      </w:r>
      <w:r>
        <w:rPr>
          <w:rFonts w:hint="eastAsia"/>
          <w:bCs/>
          <w:sz w:val="28"/>
          <w:u w:val="single"/>
          <w:lang w:val="en-US" w:eastAsia="zh-CN"/>
        </w:rPr>
        <w:t xml:space="preserve">                      </w:t>
      </w:r>
    </w:p>
    <w:p w14:paraId="55A94839">
      <w:pPr>
        <w:ind w:firstLine="4480" w:firstLineChars="1600"/>
      </w:pPr>
      <w:bookmarkStart w:id="0" w:name="_GoBack"/>
      <w:bookmarkEnd w:id="0"/>
      <w:r>
        <w:rPr>
          <w:rFonts w:hint="eastAsia"/>
          <w:bCs/>
          <w:sz w:val="28"/>
          <w:lang w:val="en-US" w:eastAsia="zh-CN"/>
        </w:rPr>
        <w:t>日期：</w:t>
      </w:r>
      <w:r>
        <w:rPr>
          <w:rFonts w:hint="eastAsia"/>
          <w:bCs/>
          <w:sz w:val="28"/>
          <w:u w:val="single"/>
          <w:lang w:val="en-US" w:eastAsia="zh-CN"/>
        </w:rPr>
        <w:t xml:space="preserve">       </w:t>
      </w:r>
      <w:r>
        <w:rPr>
          <w:bCs/>
          <w:sz w:val="28"/>
        </w:rPr>
        <w:t>年</w:t>
      </w:r>
      <w:r>
        <w:rPr>
          <w:rFonts w:hint="eastAsia"/>
          <w:bCs/>
          <w:sz w:val="28"/>
          <w:u w:val="single"/>
          <w:lang w:val="en-US" w:eastAsia="zh-CN"/>
        </w:rPr>
        <w:t xml:space="preserve">    </w:t>
      </w:r>
      <w:r>
        <w:rPr>
          <w:bCs/>
          <w:sz w:val="28"/>
        </w:rPr>
        <w:t>月</w:t>
      </w:r>
      <w:r>
        <w:rPr>
          <w:rFonts w:hint="eastAsia"/>
          <w:bCs/>
          <w:sz w:val="28"/>
          <w:u w:val="single"/>
          <w:lang w:val="en-US" w:eastAsia="zh-CN"/>
        </w:rPr>
        <w:t xml:space="preserve">    </w:t>
      </w:r>
      <w:r>
        <w:rPr>
          <w:bCs/>
          <w:sz w:val="28"/>
        </w:rPr>
        <w:t>日</w:t>
      </w:r>
    </w:p>
    <w:p w14:paraId="18FEDF24"/>
    <w:sectPr>
      <w:headerReference r:id="rId5" w:type="first"/>
      <w:footerReference r:id="rId8" w:type="first"/>
      <w:headerReference r:id="rId3" w:type="default"/>
      <w:footerReference r:id="rId6" w:type="default"/>
      <w:headerReference r:id="rId4" w:type="even"/>
      <w:footerReference r:id="rId7" w:type="even"/>
      <w:pgSz w:w="11906" w:h="16838"/>
      <w:pgMar w:top="1135"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ABBCF">
    <w:pPr>
      <w:pStyle w:val="2"/>
      <w:rPr>
        <w:rFonts w:hint="eastAsia" w:eastAsia="宋体"/>
        <w:lang w:eastAsia="zh-CN"/>
      </w:rPr>
    </w:pPr>
    <w:r>
      <w:rPr>
        <w:rFonts w:hint="eastAsia" w:eastAsia="宋体"/>
        <w:lang w:eastAsia="zh-CN"/>
      </w:rPr>
      <w:drawing>
        <wp:inline distT="0" distB="0" distL="114300" distR="114300">
          <wp:extent cx="5756910" cy="551180"/>
          <wp:effectExtent l="0" t="0" r="15240" b="1270"/>
          <wp:docPr id="1" name="图片 2" descr="页脚竖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页脚竖向"/>
                  <pic:cNvPicPr>
                    <a:picLocks noChangeAspect="1"/>
                  </pic:cNvPicPr>
                </pic:nvPicPr>
                <pic:blipFill>
                  <a:blip r:embed="rId1"/>
                  <a:stretch>
                    <a:fillRect/>
                  </a:stretch>
                </pic:blipFill>
                <pic:spPr>
                  <a:xfrm>
                    <a:off x="0" y="0"/>
                    <a:ext cx="5756910" cy="55118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85290">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8888F">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B658F">
    <w:pPr>
      <w:pStyle w:val="3"/>
      <w:jc w:val="both"/>
      <w:rPr>
        <w:rFonts w:hint="eastAsia" w:eastAsia="宋体"/>
        <w:lang w:eastAsia="zh-CN"/>
      </w:rPr>
    </w:pPr>
    <w:r>
      <w:rPr>
        <w:rFonts w:hint="eastAsia" w:eastAsia="宋体"/>
        <w:lang w:eastAsia="zh-CN"/>
      </w:rPr>
      <w:drawing>
        <wp:inline distT="0" distB="0" distL="114300" distR="114300">
          <wp:extent cx="5753100" cy="931545"/>
          <wp:effectExtent l="0" t="0" r="0" b="1905"/>
          <wp:docPr id="2" name="图片 1" descr="页眉竖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页眉竖向"/>
                  <pic:cNvPicPr>
                    <a:picLocks noChangeAspect="1"/>
                  </pic:cNvPicPr>
                </pic:nvPicPr>
                <pic:blipFill>
                  <a:blip r:embed="rId1"/>
                  <a:stretch>
                    <a:fillRect/>
                  </a:stretch>
                </pic:blipFill>
                <pic:spPr>
                  <a:xfrm>
                    <a:off x="0" y="0"/>
                    <a:ext cx="5753100" cy="93154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B5DE1">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4FA20">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5F4243"/>
    <w:rsid w:val="465F4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2025-01-03T03:35:00Z</dcterms:created>
  <dc:creator>CCB</dc:creator>
  <cp:lastModifiedBy>CCB</cp:lastModifiedBy>
  <dcterms:modified xsi:type="dcterms:W3CDTF">2025-01-03T03:36:12Z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DBE85FAC69324D3BBA89F8BB6163CE8F_11</vt:lpwstr>
  </property>
  <property fmtid="{D5CDD505-2E9C-101B-9397-08002B2CF9AE}" pid="4" name="KSOTemplateDocerSaveRecord">
    <vt:lpwstr>eyJoZGlkIjoiMWFiOTgwOGU1ZjA4Nzc2MTQ5NzA1ZTg2ZmJjMzQ5NjkiLCJ1c2VySWQiOiIyNDQ1MjQ1NjcifQ==</vt:lpwstr>
  </property>
</Properties>
</file>